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3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ind w:firstLine="0" w:firstLineChars="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附件1：</w:t>
      </w:r>
    </w:p>
    <w:p w14:paraId="4F952A27">
      <w:pPr>
        <w:ind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"/>
        </w:rPr>
        <w:t>2026年智库联盟研究课题选题</w:t>
      </w:r>
    </w:p>
    <w:bookmarkEnd w:id="0"/>
    <w:p w14:paraId="0CD0634E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0FFB69B8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1、“投资于人”的内涵、特征与实现路径研究；</w:t>
      </w:r>
    </w:p>
    <w:p w14:paraId="232914B0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2、深圳、东莞同城化实现路径研究；</w:t>
      </w:r>
    </w:p>
    <w:p w14:paraId="44C1C9DA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3、深港临界地区重大合作项目谋划与合作模式研究；</w:t>
      </w:r>
    </w:p>
    <w:p w14:paraId="4CB10134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4、深圳优化政府投资基金运作模式及建立风险分担机制研究；</w:t>
      </w:r>
    </w:p>
    <w:p w14:paraId="0BB36D85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5、深圳智库现状、问题及高质量发展研究；</w:t>
      </w:r>
    </w:p>
    <w:p w14:paraId="4DADDF36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6、推动应用场景创新的体制机制研究。</w:t>
      </w:r>
    </w:p>
    <w:p w14:paraId="12AFB749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160C7D53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59BEEFBB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1D499A23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58D21A5B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668A8461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67D1F85B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58A69E69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77220F57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528739B8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284498CF">
      <w:pPr>
        <w:ind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 w14:paraId="5C705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2026-03-30T02:19:18Z</dcterms:created>
  <dc:creator>Administrator</dc:creator>
  <cp:lastModifiedBy>陈远鹏</cp:lastModifiedBy>
  <dcterms:modified xsi:type="dcterms:W3CDTF">2026-03-30T02:19:33Z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eyJoZGlkIjoiMWE0MDlhNWExZmUwMDU2YzhiOWVmODU1ZDUwMzEyNmMiLCJ1c2VySWQiOiI2OTY4MTY0NjAifQ==</vt:lpwstr>
  </property>
  <property fmtid="{D5CDD505-2E9C-101B-9397-08002B2CF9AE}" pid="4" name="ICV">
    <vt:lpwstr>993316E93F904695837D000E576689B6_12</vt:lpwstr>
  </property>
</Properties>
</file>